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C33" w:rsidRDefault="00166845">
      <w:pPr>
        <w:jc w:val="center"/>
        <w:rPr>
          <w:b/>
          <w:sz w:val="36"/>
          <w:szCs w:val="36"/>
        </w:rPr>
      </w:pPr>
      <w:r>
        <w:rPr>
          <w:b/>
          <w:sz w:val="36"/>
          <w:szCs w:val="36"/>
        </w:rPr>
        <w:t>OFA</w:t>
      </w:r>
    </w:p>
    <w:p w:rsidR="002B4C33" w:rsidRDefault="00166845">
      <w:pPr>
        <w:jc w:val="center"/>
        <w:rPr>
          <w:b/>
          <w:sz w:val="36"/>
          <w:szCs w:val="36"/>
        </w:rPr>
      </w:pPr>
      <w:r>
        <w:rPr>
          <w:b/>
          <w:sz w:val="36"/>
          <w:szCs w:val="36"/>
        </w:rPr>
        <w:t xml:space="preserve">Local Issue Advocacy </w:t>
      </w:r>
    </w:p>
    <w:p w:rsidR="002B4C33" w:rsidRDefault="00166845">
      <w:pPr>
        <w:jc w:val="center"/>
        <w:rPr>
          <w:b/>
          <w:sz w:val="28"/>
          <w:szCs w:val="28"/>
        </w:rPr>
      </w:pPr>
      <w:r>
        <w:rPr>
          <w:b/>
          <w:sz w:val="36"/>
          <w:szCs w:val="36"/>
        </w:rPr>
        <w:t>Workshop</w:t>
      </w:r>
    </w:p>
    <w:p w:rsidR="002B4C33" w:rsidRDefault="002B4C33"/>
    <w:p w:rsidR="002B4C33" w:rsidRDefault="00166845">
      <w:r>
        <w:rPr>
          <w:b/>
        </w:rPr>
        <w:t xml:space="preserve">Opening Question - </w:t>
      </w:r>
      <w:r>
        <w:t>What are you most proud of so far with your local advocacy issue?</w:t>
      </w:r>
    </w:p>
    <w:p w:rsidR="002B4C33" w:rsidRDefault="002B4C33"/>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4C33">
        <w:tc>
          <w:tcPr>
            <w:tcW w:w="9360" w:type="dxa"/>
            <w:shd w:val="clear" w:color="auto" w:fill="auto"/>
            <w:tcMar>
              <w:top w:w="100" w:type="dxa"/>
              <w:left w:w="100" w:type="dxa"/>
              <w:bottom w:w="100" w:type="dxa"/>
              <w:right w:w="100" w:type="dxa"/>
            </w:tcMar>
          </w:tcPr>
          <w:p w:rsidR="002B4C33" w:rsidRDefault="00166845">
            <w:pPr>
              <w:widowControl w:val="0"/>
              <w:spacing w:line="240" w:lineRule="auto"/>
              <w:rPr>
                <w:b/>
              </w:rPr>
            </w:pPr>
            <w:r>
              <w:rPr>
                <w:b/>
              </w:rPr>
              <w:t>NOTES:</w:t>
            </w:r>
          </w:p>
          <w:p w:rsidR="002B4C33" w:rsidRDefault="002B4C33">
            <w:pPr>
              <w:widowControl w:val="0"/>
              <w:spacing w:line="240" w:lineRule="auto"/>
              <w:rPr>
                <w:b/>
              </w:rPr>
            </w:pPr>
          </w:p>
        </w:tc>
      </w:tr>
    </w:tbl>
    <w:p w:rsidR="002B4C33" w:rsidRDefault="00166845">
      <w:r>
        <w:t xml:space="preserve"> </w:t>
      </w:r>
    </w:p>
    <w:p w:rsidR="002B4C33" w:rsidRDefault="002B4C33"/>
    <w:p w:rsidR="002B4C33" w:rsidRDefault="00166845">
      <w:pPr>
        <w:rPr>
          <w:i/>
        </w:rPr>
      </w:pPr>
      <w:r>
        <w:rPr>
          <w:i/>
        </w:rPr>
        <w:t xml:space="preserve">Goals for this workshop </w:t>
      </w:r>
    </w:p>
    <w:p w:rsidR="002B4C33" w:rsidRDefault="002B4C33">
      <w:pPr>
        <w:rPr>
          <w:i/>
        </w:rPr>
      </w:pPr>
    </w:p>
    <w:p w:rsidR="002B4C33" w:rsidRDefault="00166845">
      <w:pPr>
        <w:widowControl w:val="0"/>
        <w:numPr>
          <w:ilvl w:val="0"/>
          <w:numId w:val="4"/>
        </w:numPr>
        <w:spacing w:line="240" w:lineRule="auto"/>
      </w:pPr>
      <w:r>
        <w:t>Synthesize content covered in our local issue advocacy series</w:t>
      </w:r>
    </w:p>
    <w:p w:rsidR="002B4C33" w:rsidRDefault="00166845">
      <w:pPr>
        <w:widowControl w:val="0"/>
        <w:numPr>
          <w:ilvl w:val="0"/>
          <w:numId w:val="4"/>
        </w:numPr>
        <w:spacing w:line="240" w:lineRule="auto"/>
      </w:pPr>
      <w:r>
        <w:t xml:space="preserve">Evaluate the next steps on your campaign plan  </w:t>
      </w:r>
    </w:p>
    <w:p w:rsidR="002B4C33" w:rsidRDefault="002B4C33">
      <w:pPr>
        <w:widowControl w:val="0"/>
        <w:spacing w:line="240" w:lineRule="auto"/>
      </w:pPr>
    </w:p>
    <w:p w:rsidR="002B4C33" w:rsidRDefault="002B4C33"/>
    <w:p w:rsidR="002B4C33" w:rsidRDefault="00166845">
      <w:pPr>
        <w:rPr>
          <w:i/>
        </w:rPr>
      </w:pPr>
      <w:r>
        <w:rPr>
          <w:i/>
        </w:rPr>
        <w:t>Topic 1: Coalition Building</w:t>
      </w:r>
    </w:p>
    <w:p w:rsidR="002B4C33" w:rsidRDefault="002B4C33"/>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4C33">
        <w:tc>
          <w:tcPr>
            <w:tcW w:w="9360" w:type="dxa"/>
            <w:shd w:val="clear" w:color="auto" w:fill="auto"/>
            <w:tcMar>
              <w:top w:w="100" w:type="dxa"/>
              <w:left w:w="100" w:type="dxa"/>
              <w:bottom w:w="100" w:type="dxa"/>
              <w:right w:w="100" w:type="dxa"/>
            </w:tcMar>
          </w:tcPr>
          <w:p w:rsidR="002B4C33" w:rsidRDefault="00166845">
            <w:pPr>
              <w:widowControl w:val="0"/>
              <w:spacing w:line="240" w:lineRule="auto"/>
              <w:rPr>
                <w:b/>
              </w:rPr>
            </w:pPr>
            <w:r>
              <w:rPr>
                <w:b/>
              </w:rPr>
              <w:t>NOTES:</w:t>
            </w:r>
          </w:p>
          <w:p w:rsidR="002B4C33" w:rsidRDefault="002B4C33">
            <w:pPr>
              <w:widowControl w:val="0"/>
              <w:spacing w:line="240" w:lineRule="auto"/>
              <w:rPr>
                <w:b/>
              </w:rPr>
            </w:pPr>
          </w:p>
        </w:tc>
      </w:tr>
    </w:tbl>
    <w:p w:rsidR="002B4C33" w:rsidRDefault="00166845">
      <w:r>
        <w:t xml:space="preserve"> </w:t>
      </w:r>
    </w:p>
    <w:p w:rsidR="002B4C33" w:rsidRDefault="00166845">
      <w:pPr>
        <w:rPr>
          <w:i/>
        </w:rPr>
      </w:pPr>
      <w:r>
        <w:rPr>
          <w:i/>
        </w:rPr>
        <w:t>Topic 2: Policy landscape</w:t>
      </w:r>
    </w:p>
    <w:p w:rsidR="002B4C33" w:rsidRDefault="002B4C33"/>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4C33">
        <w:tc>
          <w:tcPr>
            <w:tcW w:w="9360" w:type="dxa"/>
            <w:shd w:val="clear" w:color="auto" w:fill="auto"/>
            <w:tcMar>
              <w:top w:w="100" w:type="dxa"/>
              <w:left w:w="100" w:type="dxa"/>
              <w:bottom w:w="100" w:type="dxa"/>
              <w:right w:w="100" w:type="dxa"/>
            </w:tcMar>
          </w:tcPr>
          <w:p w:rsidR="002B4C33" w:rsidRDefault="00166845">
            <w:pPr>
              <w:widowControl w:val="0"/>
              <w:spacing w:line="240" w:lineRule="auto"/>
              <w:rPr>
                <w:b/>
              </w:rPr>
            </w:pPr>
            <w:r>
              <w:rPr>
                <w:b/>
              </w:rPr>
              <w:t>NOTES:</w:t>
            </w:r>
          </w:p>
          <w:p w:rsidR="002B4C33" w:rsidRDefault="002B4C33">
            <w:pPr>
              <w:widowControl w:val="0"/>
              <w:spacing w:line="240" w:lineRule="auto"/>
              <w:rPr>
                <w:b/>
              </w:rPr>
            </w:pPr>
          </w:p>
        </w:tc>
      </w:tr>
    </w:tbl>
    <w:p w:rsidR="002B4C33" w:rsidRDefault="00166845">
      <w:r>
        <w:t xml:space="preserve"> </w:t>
      </w:r>
    </w:p>
    <w:p w:rsidR="002B4C33" w:rsidRDefault="00166845">
      <w:pPr>
        <w:rPr>
          <w:i/>
        </w:rPr>
      </w:pPr>
      <w:r>
        <w:rPr>
          <w:i/>
        </w:rPr>
        <w:t xml:space="preserve">Topic 3: Writing your campaign plan </w:t>
      </w:r>
    </w:p>
    <w:p w:rsidR="002B4C33" w:rsidRDefault="002B4C33"/>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4C33">
        <w:tc>
          <w:tcPr>
            <w:tcW w:w="9360" w:type="dxa"/>
            <w:shd w:val="clear" w:color="auto" w:fill="auto"/>
            <w:tcMar>
              <w:top w:w="100" w:type="dxa"/>
              <w:left w:w="100" w:type="dxa"/>
              <w:bottom w:w="100" w:type="dxa"/>
              <w:right w:w="100" w:type="dxa"/>
            </w:tcMar>
          </w:tcPr>
          <w:p w:rsidR="002B4C33" w:rsidRDefault="00166845">
            <w:pPr>
              <w:widowControl w:val="0"/>
              <w:spacing w:line="240" w:lineRule="auto"/>
              <w:rPr>
                <w:b/>
              </w:rPr>
            </w:pPr>
            <w:r>
              <w:rPr>
                <w:b/>
              </w:rPr>
              <w:t>NOTES:</w:t>
            </w:r>
          </w:p>
          <w:p w:rsidR="002B4C33" w:rsidRDefault="002B4C33">
            <w:pPr>
              <w:widowControl w:val="0"/>
              <w:spacing w:line="240" w:lineRule="auto"/>
              <w:rPr>
                <w:b/>
              </w:rPr>
            </w:pPr>
          </w:p>
        </w:tc>
      </w:tr>
    </w:tbl>
    <w:p w:rsidR="002B4C33" w:rsidRDefault="00166845">
      <w:r>
        <w:t xml:space="preserve"> </w:t>
      </w:r>
    </w:p>
    <w:p w:rsidR="002B4C33" w:rsidRDefault="00166845">
      <w:r>
        <w:rPr>
          <w:i/>
        </w:rPr>
        <w:t>Topic 4: Overcoming barriers</w:t>
      </w: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4C33">
        <w:tc>
          <w:tcPr>
            <w:tcW w:w="9360" w:type="dxa"/>
            <w:shd w:val="clear" w:color="auto" w:fill="auto"/>
            <w:tcMar>
              <w:top w:w="100" w:type="dxa"/>
              <w:left w:w="100" w:type="dxa"/>
              <w:bottom w:w="100" w:type="dxa"/>
              <w:right w:w="100" w:type="dxa"/>
            </w:tcMar>
          </w:tcPr>
          <w:p w:rsidR="002B4C33" w:rsidRDefault="00166845">
            <w:pPr>
              <w:widowControl w:val="0"/>
              <w:spacing w:line="240" w:lineRule="auto"/>
              <w:rPr>
                <w:b/>
              </w:rPr>
            </w:pPr>
            <w:r>
              <w:rPr>
                <w:b/>
              </w:rPr>
              <w:t>NOTES:</w:t>
            </w:r>
          </w:p>
          <w:p w:rsidR="002B4C33" w:rsidRDefault="002B4C33">
            <w:pPr>
              <w:widowControl w:val="0"/>
              <w:spacing w:line="240" w:lineRule="auto"/>
              <w:rPr>
                <w:b/>
              </w:rPr>
            </w:pPr>
          </w:p>
        </w:tc>
      </w:tr>
    </w:tbl>
    <w:p w:rsidR="002B4C33" w:rsidRDefault="00166845">
      <w:pPr>
        <w:rPr>
          <w:i/>
        </w:rPr>
      </w:pPr>
      <w:r>
        <w:t xml:space="preserve"> </w:t>
      </w:r>
    </w:p>
    <w:p w:rsidR="002B4C33" w:rsidRDefault="00166845">
      <w:r>
        <w:rPr>
          <w:b/>
        </w:rPr>
        <w:t xml:space="preserve">Reflection question - </w:t>
      </w:r>
      <w:r>
        <w:t>Where do you identify yourself on the organizer continuum with your issue? What do you need to progress?</w:t>
      </w:r>
    </w:p>
    <w:p w:rsidR="002B4C33" w:rsidRDefault="002B4C33"/>
    <w:p w:rsidR="002B4C33" w:rsidRDefault="002B4C33"/>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4C33">
        <w:tc>
          <w:tcPr>
            <w:tcW w:w="9360" w:type="dxa"/>
            <w:shd w:val="clear" w:color="auto" w:fill="auto"/>
            <w:tcMar>
              <w:top w:w="100" w:type="dxa"/>
              <w:left w:w="100" w:type="dxa"/>
              <w:bottom w:w="100" w:type="dxa"/>
              <w:right w:w="100" w:type="dxa"/>
            </w:tcMar>
          </w:tcPr>
          <w:p w:rsidR="002B4C33" w:rsidRDefault="00166845">
            <w:pPr>
              <w:widowControl w:val="0"/>
              <w:spacing w:line="240" w:lineRule="auto"/>
              <w:rPr>
                <w:b/>
              </w:rPr>
            </w:pPr>
            <w:r>
              <w:rPr>
                <w:b/>
              </w:rPr>
              <w:lastRenderedPageBreak/>
              <w:t>NOTES:</w:t>
            </w:r>
          </w:p>
          <w:p w:rsidR="002B4C33" w:rsidRDefault="002B4C33">
            <w:pPr>
              <w:widowControl w:val="0"/>
              <w:spacing w:line="240" w:lineRule="auto"/>
              <w:rPr>
                <w:b/>
              </w:rPr>
            </w:pPr>
          </w:p>
        </w:tc>
      </w:tr>
    </w:tbl>
    <w:p w:rsidR="002B4C33" w:rsidRDefault="002B4C33"/>
    <w:p w:rsidR="002B4C33" w:rsidRDefault="002B4C33"/>
    <w:p w:rsidR="002B4C33" w:rsidRDefault="00166845">
      <w:pPr>
        <w:rPr>
          <w:b/>
        </w:rPr>
      </w:pPr>
      <w:r>
        <w:rPr>
          <w:b/>
        </w:rPr>
        <w:t xml:space="preserve">Success for local issue advocacy </w:t>
      </w:r>
    </w:p>
    <w:p w:rsidR="002B4C33" w:rsidRDefault="002B4C33">
      <w:pPr>
        <w:rPr>
          <w:b/>
        </w:rPr>
      </w:pPr>
    </w:p>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B4C33">
        <w:tc>
          <w:tcPr>
            <w:tcW w:w="4680" w:type="dxa"/>
            <w:shd w:val="clear" w:color="auto" w:fill="CCCCCC"/>
            <w:tcMar>
              <w:top w:w="100" w:type="dxa"/>
              <w:left w:w="100" w:type="dxa"/>
              <w:bottom w:w="100" w:type="dxa"/>
              <w:right w:w="100" w:type="dxa"/>
            </w:tcMar>
          </w:tcPr>
          <w:p w:rsidR="002B4C33" w:rsidRDefault="00166845">
            <w:pPr>
              <w:widowControl w:val="0"/>
              <w:spacing w:line="240" w:lineRule="auto"/>
              <w:rPr>
                <w:b/>
              </w:rPr>
            </w:pPr>
            <w:r>
              <w:rPr>
                <w:b/>
              </w:rPr>
              <w:t>Objectives</w:t>
            </w:r>
          </w:p>
        </w:tc>
        <w:tc>
          <w:tcPr>
            <w:tcW w:w="4680" w:type="dxa"/>
            <w:shd w:val="clear" w:color="auto" w:fill="CCCCCC"/>
            <w:tcMar>
              <w:top w:w="100" w:type="dxa"/>
              <w:left w:w="100" w:type="dxa"/>
              <w:bottom w:w="100" w:type="dxa"/>
              <w:right w:w="100" w:type="dxa"/>
            </w:tcMar>
          </w:tcPr>
          <w:p w:rsidR="002B4C33" w:rsidRDefault="00166845">
            <w:pPr>
              <w:widowControl w:val="0"/>
              <w:spacing w:line="240" w:lineRule="auto"/>
              <w:rPr>
                <w:b/>
              </w:rPr>
            </w:pPr>
            <w:r>
              <w:rPr>
                <w:b/>
              </w:rPr>
              <w:t xml:space="preserve">Indicators of success </w:t>
            </w:r>
          </w:p>
        </w:tc>
      </w:tr>
      <w:tr w:rsidR="002B4C33">
        <w:tc>
          <w:tcPr>
            <w:tcW w:w="4680" w:type="dxa"/>
            <w:shd w:val="clear" w:color="auto" w:fill="auto"/>
            <w:tcMar>
              <w:top w:w="100" w:type="dxa"/>
              <w:left w:w="100" w:type="dxa"/>
              <w:bottom w:w="100" w:type="dxa"/>
              <w:right w:w="100" w:type="dxa"/>
            </w:tcMar>
          </w:tcPr>
          <w:p w:rsidR="002B4C33" w:rsidRDefault="00166845">
            <w:pPr>
              <w:numPr>
                <w:ilvl w:val="0"/>
                <w:numId w:val="5"/>
              </w:numPr>
              <w:spacing w:line="240" w:lineRule="auto"/>
            </w:pPr>
            <w:r>
              <w:t xml:space="preserve">To equip individuals with the skills to identify the root problems affecting the health of their community, and propose a campaign plan to address these root problems </w:t>
            </w:r>
          </w:p>
        </w:tc>
        <w:tc>
          <w:tcPr>
            <w:tcW w:w="4680" w:type="dxa"/>
            <w:shd w:val="clear" w:color="auto" w:fill="auto"/>
            <w:tcMar>
              <w:top w:w="100" w:type="dxa"/>
              <w:left w:w="100" w:type="dxa"/>
              <w:bottom w:w="100" w:type="dxa"/>
              <w:right w:w="100" w:type="dxa"/>
            </w:tcMar>
          </w:tcPr>
          <w:p w:rsidR="002B4C33" w:rsidRDefault="00166845">
            <w:pPr>
              <w:widowControl w:val="0"/>
              <w:numPr>
                <w:ilvl w:val="0"/>
                <w:numId w:val="5"/>
              </w:numPr>
              <w:spacing w:line="240" w:lineRule="auto"/>
            </w:pPr>
            <w:r>
              <w:t xml:space="preserve">Types of questions asked: “Are the actions I am taking leading to the change I actually </w:t>
            </w:r>
            <w:r>
              <w:t>want to see?”</w:t>
            </w:r>
          </w:p>
          <w:p w:rsidR="002B4C33" w:rsidRDefault="00166845">
            <w:pPr>
              <w:widowControl w:val="0"/>
              <w:numPr>
                <w:ilvl w:val="0"/>
                <w:numId w:val="5"/>
              </w:numPr>
              <w:spacing w:line="240" w:lineRule="auto"/>
            </w:pPr>
            <w:r>
              <w:t xml:space="preserve">Participants narrowing from their passions to issues that they can work on for actionable change </w:t>
            </w:r>
          </w:p>
          <w:p w:rsidR="002B4C33" w:rsidRDefault="00166845">
            <w:pPr>
              <w:widowControl w:val="0"/>
              <w:numPr>
                <w:ilvl w:val="0"/>
                <w:numId w:val="5"/>
              </w:numPr>
              <w:spacing w:line="240" w:lineRule="auto"/>
            </w:pPr>
            <w:r>
              <w:t>10 campaign plans</w:t>
            </w:r>
          </w:p>
        </w:tc>
      </w:tr>
      <w:tr w:rsidR="002B4C33">
        <w:tc>
          <w:tcPr>
            <w:tcW w:w="4680" w:type="dxa"/>
            <w:shd w:val="clear" w:color="auto" w:fill="auto"/>
            <w:tcMar>
              <w:top w:w="100" w:type="dxa"/>
              <w:left w:w="100" w:type="dxa"/>
              <w:bottom w:w="100" w:type="dxa"/>
              <w:right w:w="100" w:type="dxa"/>
            </w:tcMar>
          </w:tcPr>
          <w:p w:rsidR="002B4C33" w:rsidRDefault="00166845">
            <w:pPr>
              <w:numPr>
                <w:ilvl w:val="0"/>
                <w:numId w:val="5"/>
              </w:numPr>
              <w:spacing w:line="240" w:lineRule="auto"/>
            </w:pPr>
            <w:r>
              <w:t>To identify all the components of successful coalitions, and to apply these elements of building a coalition in their communi</w:t>
            </w:r>
            <w:r>
              <w:t xml:space="preserve">ty </w:t>
            </w:r>
          </w:p>
        </w:tc>
        <w:tc>
          <w:tcPr>
            <w:tcW w:w="4680" w:type="dxa"/>
            <w:shd w:val="clear" w:color="auto" w:fill="auto"/>
            <w:tcMar>
              <w:top w:w="100" w:type="dxa"/>
              <w:left w:w="100" w:type="dxa"/>
              <w:bottom w:w="100" w:type="dxa"/>
              <w:right w:w="100" w:type="dxa"/>
            </w:tcMar>
          </w:tcPr>
          <w:p w:rsidR="002B4C33" w:rsidRDefault="00166845">
            <w:pPr>
              <w:widowControl w:val="0"/>
              <w:numPr>
                <w:ilvl w:val="0"/>
                <w:numId w:val="5"/>
              </w:numPr>
              <w:spacing w:line="240" w:lineRule="auto"/>
            </w:pPr>
            <w:r>
              <w:t>Types of questions asked: “Who cares about this issue already?” or “I am going to XYZ event because I know XYZ person will be there.”</w:t>
            </w:r>
          </w:p>
          <w:p w:rsidR="002B4C33" w:rsidRDefault="00166845">
            <w:pPr>
              <w:widowControl w:val="0"/>
              <w:numPr>
                <w:ilvl w:val="0"/>
                <w:numId w:val="5"/>
              </w:numPr>
              <w:spacing w:line="240" w:lineRule="auto"/>
            </w:pPr>
            <w:r>
              <w:t>Participants showing up to events that pertain to their issue, emailing out groups of people about events, posing questions to the group, reading articles and sharing them with others, attending city council meetings, getting groups of people together to t</w:t>
            </w:r>
            <w:r>
              <w:t xml:space="preserve">alk about their issue </w:t>
            </w:r>
          </w:p>
        </w:tc>
      </w:tr>
      <w:tr w:rsidR="002B4C33">
        <w:tc>
          <w:tcPr>
            <w:tcW w:w="4680" w:type="dxa"/>
            <w:shd w:val="clear" w:color="auto" w:fill="auto"/>
            <w:tcMar>
              <w:top w:w="100" w:type="dxa"/>
              <w:left w:w="100" w:type="dxa"/>
              <w:bottom w:w="100" w:type="dxa"/>
              <w:right w:w="100" w:type="dxa"/>
            </w:tcMar>
          </w:tcPr>
          <w:p w:rsidR="002B4C33" w:rsidRDefault="00166845">
            <w:pPr>
              <w:numPr>
                <w:ilvl w:val="0"/>
                <w:numId w:val="5"/>
              </w:numPr>
              <w:spacing w:line="240" w:lineRule="auto"/>
            </w:pPr>
            <w:r>
              <w:t xml:space="preserve">To explain the current legislation surrounding their issue, and take appropriate action for legislation around the issue in their community </w:t>
            </w:r>
            <w:r>
              <w:tab/>
            </w:r>
          </w:p>
        </w:tc>
        <w:tc>
          <w:tcPr>
            <w:tcW w:w="4680" w:type="dxa"/>
            <w:shd w:val="clear" w:color="auto" w:fill="auto"/>
            <w:tcMar>
              <w:top w:w="100" w:type="dxa"/>
              <w:left w:w="100" w:type="dxa"/>
              <w:bottom w:w="100" w:type="dxa"/>
              <w:right w:w="100" w:type="dxa"/>
            </w:tcMar>
          </w:tcPr>
          <w:p w:rsidR="002B4C33" w:rsidRDefault="00166845">
            <w:pPr>
              <w:widowControl w:val="0"/>
              <w:numPr>
                <w:ilvl w:val="0"/>
                <w:numId w:val="2"/>
              </w:numPr>
              <w:spacing w:line="240" w:lineRule="auto"/>
            </w:pPr>
            <w:r>
              <w:t>Types of questions asked: “Who has worked on this issue before in other cities, and what c</w:t>
            </w:r>
            <w:r>
              <w:t>an I use?” or “What has been proposed to the city before, and what happened?”</w:t>
            </w:r>
          </w:p>
          <w:p w:rsidR="002B4C33" w:rsidRDefault="00166845">
            <w:pPr>
              <w:widowControl w:val="0"/>
              <w:numPr>
                <w:ilvl w:val="0"/>
                <w:numId w:val="2"/>
              </w:numPr>
              <w:spacing w:line="240" w:lineRule="auto"/>
            </w:pPr>
            <w:r>
              <w:t xml:space="preserve">Researching legislation, proposing legislation, copying over legislation from other cities, raising awareness about current legislation </w:t>
            </w:r>
          </w:p>
        </w:tc>
      </w:tr>
      <w:tr w:rsidR="002B4C33">
        <w:tc>
          <w:tcPr>
            <w:tcW w:w="4680" w:type="dxa"/>
            <w:shd w:val="clear" w:color="auto" w:fill="auto"/>
            <w:tcMar>
              <w:top w:w="100" w:type="dxa"/>
              <w:left w:w="100" w:type="dxa"/>
              <w:bottom w:w="100" w:type="dxa"/>
              <w:right w:w="100" w:type="dxa"/>
            </w:tcMar>
          </w:tcPr>
          <w:p w:rsidR="002B4C33" w:rsidRDefault="00166845">
            <w:pPr>
              <w:numPr>
                <w:ilvl w:val="0"/>
                <w:numId w:val="2"/>
              </w:numPr>
              <w:spacing w:line="240" w:lineRule="auto"/>
            </w:pPr>
            <w:r>
              <w:t xml:space="preserve">To analyze the barriers and challenges that they face as they implement their campaign plans, and persevere strategically  </w:t>
            </w:r>
          </w:p>
        </w:tc>
        <w:tc>
          <w:tcPr>
            <w:tcW w:w="4680" w:type="dxa"/>
            <w:shd w:val="clear" w:color="auto" w:fill="auto"/>
            <w:tcMar>
              <w:top w:w="100" w:type="dxa"/>
              <w:left w:w="100" w:type="dxa"/>
              <w:bottom w:w="100" w:type="dxa"/>
              <w:right w:w="100" w:type="dxa"/>
            </w:tcMar>
          </w:tcPr>
          <w:p w:rsidR="002B4C33" w:rsidRDefault="00166845">
            <w:pPr>
              <w:widowControl w:val="0"/>
              <w:numPr>
                <w:ilvl w:val="0"/>
                <w:numId w:val="3"/>
              </w:numPr>
              <w:spacing w:line="240" w:lineRule="auto"/>
            </w:pPr>
            <w:r>
              <w:t>Types of statements made: “Well, I might have made XYZ person mad…”; “What does this issue look like next year if we are successful?</w:t>
            </w:r>
            <w:r>
              <w:t>”</w:t>
            </w:r>
          </w:p>
          <w:p w:rsidR="002B4C33" w:rsidRDefault="00166845">
            <w:pPr>
              <w:widowControl w:val="0"/>
              <w:numPr>
                <w:ilvl w:val="0"/>
                <w:numId w:val="3"/>
              </w:numPr>
              <w:spacing w:line="240" w:lineRule="auto"/>
            </w:pPr>
            <w:r>
              <w:t>80% retention rate across 10 weeks</w:t>
            </w:r>
          </w:p>
        </w:tc>
      </w:tr>
      <w:tr w:rsidR="002B4C33">
        <w:tc>
          <w:tcPr>
            <w:tcW w:w="4680" w:type="dxa"/>
            <w:shd w:val="clear" w:color="auto" w:fill="auto"/>
            <w:tcMar>
              <w:top w:w="100" w:type="dxa"/>
              <w:left w:w="100" w:type="dxa"/>
              <w:bottom w:w="100" w:type="dxa"/>
              <w:right w:w="100" w:type="dxa"/>
            </w:tcMar>
          </w:tcPr>
          <w:p w:rsidR="002B4C33" w:rsidRDefault="00166845">
            <w:pPr>
              <w:numPr>
                <w:ilvl w:val="0"/>
                <w:numId w:val="3"/>
              </w:numPr>
              <w:spacing w:line="240" w:lineRule="auto"/>
            </w:pPr>
            <w:r>
              <w:t xml:space="preserve">To develop a community of learners that support, push, challenge, and celebrate each other </w:t>
            </w:r>
          </w:p>
        </w:tc>
        <w:tc>
          <w:tcPr>
            <w:tcW w:w="4680" w:type="dxa"/>
            <w:shd w:val="clear" w:color="auto" w:fill="auto"/>
            <w:tcMar>
              <w:top w:w="100" w:type="dxa"/>
              <w:left w:w="100" w:type="dxa"/>
              <w:bottom w:w="100" w:type="dxa"/>
              <w:right w:w="100" w:type="dxa"/>
            </w:tcMar>
          </w:tcPr>
          <w:p w:rsidR="002B4C33" w:rsidRDefault="00166845">
            <w:pPr>
              <w:widowControl w:val="0"/>
              <w:numPr>
                <w:ilvl w:val="0"/>
                <w:numId w:val="1"/>
              </w:numPr>
              <w:spacing w:line="240" w:lineRule="auto"/>
            </w:pPr>
            <w:r>
              <w:t xml:space="preserve">“High-level” volunteers getting on the calls because they are fun and thought provoking </w:t>
            </w:r>
          </w:p>
          <w:p w:rsidR="002B4C33" w:rsidRDefault="00166845">
            <w:pPr>
              <w:widowControl w:val="0"/>
              <w:numPr>
                <w:ilvl w:val="0"/>
                <w:numId w:val="1"/>
              </w:numPr>
              <w:spacing w:line="240" w:lineRule="auto"/>
            </w:pPr>
            <w:r>
              <w:t xml:space="preserve">Throughout the year, we see </w:t>
            </w:r>
            <w:r>
              <w:lastRenderedPageBreak/>
              <w:t>volunteer</w:t>
            </w:r>
            <w:r>
              <w:t xml:space="preserve">s emailing and connecting with each other </w:t>
            </w:r>
          </w:p>
        </w:tc>
      </w:tr>
    </w:tbl>
    <w:p w:rsidR="002B4C33" w:rsidRDefault="002B4C33"/>
    <w:p w:rsidR="002B4C33" w:rsidRDefault="00166845">
      <w:pPr>
        <w:rPr>
          <w:i/>
        </w:rPr>
      </w:pPr>
      <w:r>
        <w:rPr>
          <w:i/>
        </w:rPr>
        <w:t>Group norms for workshops:</w:t>
      </w:r>
    </w:p>
    <w:p w:rsidR="002B4C33" w:rsidRDefault="002B4C33"/>
    <w:p w:rsidR="002B4C33" w:rsidRDefault="00166845">
      <w:pPr>
        <w:numPr>
          <w:ilvl w:val="0"/>
          <w:numId w:val="6"/>
        </w:numPr>
      </w:pPr>
      <w:r>
        <w:t>Develop an ethic of sharing</w:t>
      </w:r>
    </w:p>
    <w:p w:rsidR="002B4C33" w:rsidRDefault="00166845">
      <w:pPr>
        <w:numPr>
          <w:ilvl w:val="0"/>
          <w:numId w:val="6"/>
        </w:numPr>
      </w:pPr>
      <w:r>
        <w:t>It’s okay to question -- asking for why; asking for evidence; receive feedback in kind</w:t>
      </w:r>
    </w:p>
    <w:p w:rsidR="002B4C33" w:rsidRDefault="00166845">
      <w:pPr>
        <w:numPr>
          <w:ilvl w:val="0"/>
          <w:numId w:val="6"/>
        </w:numPr>
      </w:pPr>
      <w:r>
        <w:t xml:space="preserve">No one is above critique, no one is below dignity </w:t>
      </w:r>
    </w:p>
    <w:p w:rsidR="002B4C33" w:rsidRDefault="00166845">
      <w:pPr>
        <w:numPr>
          <w:ilvl w:val="0"/>
          <w:numId w:val="6"/>
        </w:numPr>
      </w:pPr>
      <w:r>
        <w:t>Respect, empower, include</w:t>
      </w:r>
    </w:p>
    <w:p w:rsidR="002B4C33" w:rsidRDefault="00166845">
      <w:pPr>
        <w:numPr>
          <w:ilvl w:val="0"/>
          <w:numId w:val="6"/>
        </w:numPr>
      </w:pPr>
      <w:r>
        <w:t xml:space="preserve">Step up, step back </w:t>
      </w:r>
    </w:p>
    <w:p w:rsidR="002B4C33" w:rsidRDefault="002B4C33"/>
    <w:p w:rsidR="002B4C33" w:rsidRDefault="00166845">
      <w:pPr>
        <w:rPr>
          <w:i/>
        </w:rPr>
      </w:pPr>
      <w:r>
        <w:rPr>
          <w:i/>
        </w:rPr>
        <w:t>Group protocol:</w:t>
      </w:r>
    </w:p>
    <w:p w:rsidR="002B4C33" w:rsidRDefault="002B4C33">
      <w:pPr>
        <w:rPr>
          <w:i/>
        </w:rPr>
      </w:pPr>
    </w:p>
    <w:p w:rsidR="002B4C33" w:rsidRDefault="00166845">
      <w:pPr>
        <w:pBdr>
          <w:top w:val="nil"/>
          <w:left w:val="nil"/>
          <w:bottom w:val="nil"/>
          <w:right w:val="nil"/>
          <w:between w:val="nil"/>
        </w:pBdr>
      </w:pPr>
      <w:r>
        <w:t>Question: What actions have I taken as a result of wha</w:t>
      </w:r>
      <w:r>
        <w:t>t I have learned?</w:t>
      </w:r>
    </w:p>
    <w:p w:rsidR="002B4C33" w:rsidRDefault="002B4C33"/>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4C33">
        <w:tc>
          <w:tcPr>
            <w:tcW w:w="9360" w:type="dxa"/>
            <w:shd w:val="clear" w:color="auto" w:fill="auto"/>
            <w:tcMar>
              <w:top w:w="100" w:type="dxa"/>
              <w:left w:w="100" w:type="dxa"/>
              <w:bottom w:w="100" w:type="dxa"/>
              <w:right w:w="100" w:type="dxa"/>
            </w:tcMar>
          </w:tcPr>
          <w:p w:rsidR="002B4C33" w:rsidRDefault="00166845">
            <w:pPr>
              <w:widowControl w:val="0"/>
              <w:spacing w:line="240" w:lineRule="auto"/>
              <w:rPr>
                <w:b/>
              </w:rPr>
            </w:pPr>
            <w:r>
              <w:rPr>
                <w:b/>
              </w:rPr>
              <w:t>NOTES:</w:t>
            </w:r>
          </w:p>
          <w:p w:rsidR="002B4C33" w:rsidRDefault="002B4C33">
            <w:pPr>
              <w:widowControl w:val="0"/>
              <w:spacing w:line="240" w:lineRule="auto"/>
              <w:rPr>
                <w:b/>
              </w:rPr>
            </w:pPr>
          </w:p>
        </w:tc>
      </w:tr>
    </w:tbl>
    <w:p w:rsidR="002B4C33" w:rsidRDefault="002B4C33"/>
    <w:p w:rsidR="002B4C33" w:rsidRDefault="002B4C33"/>
    <w:p w:rsidR="002B4C33" w:rsidRDefault="00166845">
      <w:r>
        <w:rPr>
          <w:b/>
        </w:rPr>
        <w:t xml:space="preserve">Closing reflection - </w:t>
      </w:r>
      <w:r>
        <w:t>What is most helpful moving forward? How can OFA stay connected on your issue?</w:t>
      </w:r>
    </w:p>
    <w:p w:rsidR="002B4C33" w:rsidRDefault="002B4C33"/>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4C33">
        <w:tc>
          <w:tcPr>
            <w:tcW w:w="9360" w:type="dxa"/>
            <w:shd w:val="clear" w:color="auto" w:fill="auto"/>
            <w:tcMar>
              <w:top w:w="100" w:type="dxa"/>
              <w:left w:w="100" w:type="dxa"/>
              <w:bottom w:w="100" w:type="dxa"/>
              <w:right w:w="100" w:type="dxa"/>
            </w:tcMar>
          </w:tcPr>
          <w:p w:rsidR="002B4C33" w:rsidRDefault="002B4C33">
            <w:pPr>
              <w:widowControl w:val="0"/>
              <w:pBdr>
                <w:top w:val="nil"/>
                <w:left w:val="nil"/>
                <w:bottom w:val="nil"/>
                <w:right w:val="nil"/>
                <w:between w:val="nil"/>
              </w:pBdr>
              <w:spacing w:line="240" w:lineRule="auto"/>
            </w:pPr>
          </w:p>
          <w:p w:rsidR="002B4C33" w:rsidRDefault="002B4C33">
            <w:pPr>
              <w:widowControl w:val="0"/>
              <w:pBdr>
                <w:top w:val="nil"/>
                <w:left w:val="nil"/>
                <w:bottom w:val="nil"/>
                <w:right w:val="nil"/>
                <w:between w:val="nil"/>
              </w:pBdr>
              <w:spacing w:line="240" w:lineRule="auto"/>
            </w:pPr>
          </w:p>
        </w:tc>
      </w:tr>
    </w:tbl>
    <w:p w:rsidR="002B4C33" w:rsidRDefault="002B4C33">
      <w:pPr>
        <w:rPr>
          <w:b/>
        </w:rPr>
      </w:pPr>
    </w:p>
    <w:sectPr w:rsidR="002B4C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845" w:rsidRDefault="00166845" w:rsidP="002D1DE2">
      <w:pPr>
        <w:spacing w:line="240" w:lineRule="auto"/>
      </w:pPr>
      <w:r>
        <w:separator/>
      </w:r>
    </w:p>
  </w:endnote>
  <w:endnote w:type="continuationSeparator" w:id="0">
    <w:p w:rsidR="00166845" w:rsidRDefault="00166845" w:rsidP="002D1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E2" w:rsidRDefault="002D1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E2" w:rsidRPr="00773D05" w:rsidRDefault="002D1DE2" w:rsidP="002D1DE2">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2D1DE2" w:rsidRDefault="002D1DE2">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E2" w:rsidRDefault="002D1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845" w:rsidRDefault="00166845" w:rsidP="002D1DE2">
      <w:pPr>
        <w:spacing w:line="240" w:lineRule="auto"/>
      </w:pPr>
      <w:r>
        <w:separator/>
      </w:r>
    </w:p>
  </w:footnote>
  <w:footnote w:type="continuationSeparator" w:id="0">
    <w:p w:rsidR="00166845" w:rsidRDefault="00166845" w:rsidP="002D1D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E2" w:rsidRDefault="002D1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E2" w:rsidRDefault="002D1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E2" w:rsidRDefault="002D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6D2"/>
    <w:multiLevelType w:val="multilevel"/>
    <w:tmpl w:val="FC3C2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D6B26"/>
    <w:multiLevelType w:val="multilevel"/>
    <w:tmpl w:val="DF86C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911FB3"/>
    <w:multiLevelType w:val="multilevel"/>
    <w:tmpl w:val="8FA08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F429FD"/>
    <w:multiLevelType w:val="multilevel"/>
    <w:tmpl w:val="2B62A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C025DA"/>
    <w:multiLevelType w:val="multilevel"/>
    <w:tmpl w:val="C3A08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412187"/>
    <w:multiLevelType w:val="multilevel"/>
    <w:tmpl w:val="02BA1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B4C33"/>
    <w:rsid w:val="00166845"/>
    <w:rsid w:val="002B4C33"/>
    <w:rsid w:val="002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1DE2"/>
    <w:pPr>
      <w:tabs>
        <w:tab w:val="center" w:pos="4680"/>
        <w:tab w:val="right" w:pos="9360"/>
      </w:tabs>
      <w:spacing w:line="240" w:lineRule="auto"/>
    </w:pPr>
  </w:style>
  <w:style w:type="character" w:customStyle="1" w:styleId="HeaderChar">
    <w:name w:val="Header Char"/>
    <w:basedOn w:val="DefaultParagraphFont"/>
    <w:link w:val="Header"/>
    <w:uiPriority w:val="99"/>
    <w:rsid w:val="002D1DE2"/>
  </w:style>
  <w:style w:type="paragraph" w:styleId="Footer">
    <w:name w:val="footer"/>
    <w:basedOn w:val="Normal"/>
    <w:link w:val="FooterChar"/>
    <w:uiPriority w:val="99"/>
    <w:unhideWhenUsed/>
    <w:rsid w:val="002D1DE2"/>
    <w:pPr>
      <w:tabs>
        <w:tab w:val="center" w:pos="4680"/>
        <w:tab w:val="right" w:pos="9360"/>
      </w:tabs>
      <w:spacing w:line="240" w:lineRule="auto"/>
    </w:pPr>
  </w:style>
  <w:style w:type="character" w:customStyle="1" w:styleId="FooterChar">
    <w:name w:val="Footer Char"/>
    <w:basedOn w:val="DefaultParagraphFont"/>
    <w:link w:val="Footer"/>
    <w:uiPriority w:val="99"/>
    <w:rsid w:val="002D1DE2"/>
  </w:style>
  <w:style w:type="character" w:styleId="Hyperlink">
    <w:name w:val="Hyperlink"/>
    <w:basedOn w:val="DefaultParagraphFont"/>
    <w:uiPriority w:val="99"/>
    <w:unhideWhenUsed/>
    <w:rsid w:val="002D1DE2"/>
    <w:rPr>
      <w:color w:val="0000FF" w:themeColor="hyperlink"/>
      <w:u w:val="single"/>
    </w:rPr>
  </w:style>
  <w:style w:type="character" w:styleId="FollowedHyperlink">
    <w:name w:val="FollowedHyperlink"/>
    <w:basedOn w:val="DefaultParagraphFont"/>
    <w:uiPriority w:val="99"/>
    <w:semiHidden/>
    <w:unhideWhenUsed/>
    <w:rsid w:val="002D1D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2555</Characters>
  <Application>Microsoft Office Word</Application>
  <DocSecurity>0</DocSecurity>
  <Lines>141</Lines>
  <Paragraphs>63</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2019-03-03T00:15:00Z</dcterms:created>
  <dcterms:modified xsi:type="dcterms:W3CDTF">2019-03-03T00:16:00Z</dcterms:modified>
</cp:coreProperties>
</file>