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FD" w:rsidRDefault="007268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OFA + Swing Left</w:t>
      </w:r>
    </w:p>
    <w:p w:rsidR="001512FD" w:rsidRDefault="007268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Effective Conversations</w:t>
      </w:r>
    </w:p>
    <w:p w:rsidR="001512FD" w:rsidRDefault="00726829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Part 2: Motivational Interviewing</w:t>
      </w:r>
    </w:p>
    <w:p w:rsidR="001512FD" w:rsidRDefault="001512FD"/>
    <w:p w:rsidR="001512FD" w:rsidRDefault="00726829">
      <w:r>
        <w:rPr>
          <w:b/>
        </w:rPr>
        <w:t xml:space="preserve">Motivational Interviewing - </w:t>
      </w:r>
      <w:r>
        <w:t>A person-focused method of guiding a person to elicit and strengthen their own personal motivation for change.</w:t>
      </w:r>
    </w:p>
    <w:p w:rsidR="001512FD" w:rsidRDefault="001512FD"/>
    <w:p w:rsidR="001512FD" w:rsidRDefault="00726829">
      <w:pPr>
        <w:ind w:left="720"/>
      </w:pPr>
      <w:r>
        <w:rPr>
          <w:b/>
        </w:rPr>
        <w:t>Key concept 1 -</w:t>
      </w:r>
      <w:r>
        <w:t xml:space="preserve"> In order to have effective conversations, we have to be good listeners,  as well as ask questions that reveal biases and beliefs in a nonjudgmental way. It is not manipulative, judgmental, a “gotcha” moment, or a “clap-back.”</w:t>
      </w:r>
    </w:p>
    <w:p w:rsidR="001512FD" w:rsidRDefault="001512FD">
      <w:pPr>
        <w:ind w:left="720"/>
      </w:pPr>
    </w:p>
    <w:p w:rsidR="001512FD" w:rsidRDefault="001512FD">
      <w:pPr>
        <w:ind w:left="720"/>
      </w:pPr>
    </w:p>
    <w:p w:rsidR="001512FD" w:rsidRDefault="001512FD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512F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2FD" w:rsidRDefault="0072682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NOTES:</w:t>
            </w:r>
          </w:p>
        </w:tc>
      </w:tr>
    </w:tbl>
    <w:p w:rsidR="001512FD" w:rsidRDefault="001512FD"/>
    <w:p w:rsidR="001512FD" w:rsidRDefault="001512FD">
      <w:pPr>
        <w:ind w:left="720"/>
      </w:pPr>
    </w:p>
    <w:p w:rsidR="001512FD" w:rsidRDefault="001512FD">
      <w:pPr>
        <w:ind w:left="720"/>
      </w:pPr>
    </w:p>
    <w:p w:rsidR="001512FD" w:rsidRDefault="00726829">
      <w:pPr>
        <w:ind w:left="720"/>
      </w:pPr>
      <w:r>
        <w:rPr>
          <w:b/>
        </w:rPr>
        <w:t>Key concept 2 -</w:t>
      </w:r>
      <w:r>
        <w:t xml:space="preserve"> Motivational interviewing is a technique typically used in counseling. While we’re not all counselors, we can apply the same deep listening techniques in order to build trust and guide behavior change. </w:t>
      </w:r>
    </w:p>
    <w:p w:rsidR="001512FD" w:rsidRDefault="001512FD">
      <w:pPr>
        <w:ind w:left="720"/>
      </w:pPr>
    </w:p>
    <w:p w:rsidR="001512FD" w:rsidRDefault="001512FD"/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512F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2FD" w:rsidRDefault="0072682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NOTES:</w:t>
            </w:r>
          </w:p>
        </w:tc>
      </w:tr>
    </w:tbl>
    <w:p w:rsidR="001512FD" w:rsidRDefault="001512FD"/>
    <w:p w:rsidR="001512FD" w:rsidRDefault="001512FD">
      <w:pPr>
        <w:ind w:left="720"/>
      </w:pPr>
    </w:p>
    <w:p w:rsidR="001512FD" w:rsidRDefault="001512FD">
      <w:pPr>
        <w:ind w:left="720"/>
      </w:pPr>
    </w:p>
    <w:p w:rsidR="001512FD" w:rsidRDefault="001512FD">
      <w:pPr>
        <w:ind w:left="720"/>
      </w:pPr>
    </w:p>
    <w:p w:rsidR="001512FD" w:rsidRDefault="00726829">
      <w:pPr>
        <w:ind w:left="720"/>
      </w:pPr>
      <w:r>
        <w:rPr>
          <w:b/>
        </w:rPr>
        <w:t xml:space="preserve">Key concept 3 - </w:t>
      </w:r>
      <w:r>
        <w:t>This technique is a listening tool that can be used in individual conversations where a certain degree of trust is present -- like with friends or family, but not exclusively. You could also use it when first meeting someone, such as during canvassing. Jus</w:t>
      </w:r>
      <w:r>
        <w:t>t note that it will not work in every situation, and these conversations typically work best in person, when people are more likely to exercise moderation, compassion, and empathy.</w:t>
      </w:r>
    </w:p>
    <w:p w:rsidR="001512FD" w:rsidRDefault="001512FD">
      <w:pPr>
        <w:ind w:left="720"/>
      </w:pPr>
    </w:p>
    <w:p w:rsidR="001512FD" w:rsidRDefault="001512FD"/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512F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2FD" w:rsidRDefault="00726829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NOTES:</w:t>
            </w:r>
          </w:p>
        </w:tc>
      </w:tr>
    </w:tbl>
    <w:p w:rsidR="001512FD" w:rsidRDefault="001512FD"/>
    <w:p w:rsidR="001512FD" w:rsidRDefault="001512FD"/>
    <w:p w:rsidR="001512FD" w:rsidRDefault="001512FD"/>
    <w:p w:rsidR="001512FD" w:rsidRDefault="00726829">
      <w:pPr>
        <w:rPr>
          <w:b/>
        </w:rPr>
      </w:pPr>
      <w:r>
        <w:rPr>
          <w:b/>
        </w:rPr>
        <w:t>Framework</w:t>
      </w:r>
      <w:r>
        <w:rPr>
          <w:b/>
        </w:rPr>
        <w:t xml:space="preserve"> for Motivational Interviewing -</w:t>
      </w:r>
    </w:p>
    <w:p w:rsidR="001512FD" w:rsidRDefault="001512FD">
      <w:pPr>
        <w:ind w:left="720"/>
      </w:pPr>
    </w:p>
    <w:p w:rsidR="001512FD" w:rsidRDefault="00726829">
      <w:pPr>
        <w:ind w:left="720"/>
      </w:pPr>
      <w:r>
        <w:rPr>
          <w:b/>
        </w:rPr>
        <w:t xml:space="preserve">Exploring - </w:t>
      </w:r>
      <w:r>
        <w:t>Asking probing and reflective questions with the person you are speaking with in order to establish rapport and get to the root of why the person believes what they believe.</w:t>
      </w:r>
    </w:p>
    <w:p w:rsidR="001512FD" w:rsidRDefault="001512FD"/>
    <w:tbl>
      <w:tblPr>
        <w:tblStyle w:val="a2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1512FD">
        <w:trPr>
          <w:trHeight w:val="420"/>
        </w:trPr>
        <w:tc>
          <w:tcPr>
            <w:tcW w:w="8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2FD" w:rsidRDefault="00726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Exploring Techniques</w:t>
            </w:r>
          </w:p>
        </w:tc>
      </w:tr>
      <w:tr w:rsidR="001512FD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2FD" w:rsidRDefault="00726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 xml:space="preserve">Content reflection </w:t>
            </w:r>
            <w:r>
              <w:t>- “Given what you said, it sounds like you…”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2FD" w:rsidRDefault="0072682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Feeling reflection </w:t>
            </w:r>
            <w:r>
              <w:t>- “It seems that you felt x, y, z at that time… am I correct?”</w:t>
            </w:r>
          </w:p>
        </w:tc>
      </w:tr>
    </w:tbl>
    <w:p w:rsidR="001512FD" w:rsidRDefault="001512FD">
      <w:pPr>
        <w:ind w:left="720"/>
        <w:jc w:val="center"/>
      </w:pPr>
    </w:p>
    <w:p w:rsidR="001512FD" w:rsidRDefault="00726829">
      <w:pPr>
        <w:ind w:left="1440"/>
        <w:rPr>
          <w:b/>
        </w:rPr>
      </w:pPr>
      <w:r>
        <w:rPr>
          <w:b/>
        </w:rPr>
        <w:t xml:space="preserve">Pro-tip: </w:t>
      </w:r>
      <w:r>
        <w:t>It’s okay to get the reflection wrong. The speaker will rephrase and hopefully clarify their position, belief, or value.</w:t>
      </w:r>
    </w:p>
    <w:p w:rsidR="001512FD" w:rsidRDefault="001512FD">
      <w:pPr>
        <w:rPr>
          <w:b/>
        </w:rPr>
      </w:pPr>
    </w:p>
    <w:p w:rsidR="001512FD" w:rsidRDefault="00726829">
      <w:pPr>
        <w:ind w:left="1440"/>
      </w:pPr>
      <w:r>
        <w:rPr>
          <w:b/>
        </w:rPr>
        <w:t xml:space="preserve">Remember: </w:t>
      </w:r>
      <w:r>
        <w:t>Be careful not to respond with premature advice or questions that are biased in what you want to hear! This phase contains m</w:t>
      </w:r>
      <w:r>
        <w:t>ultiple questions -- think of yourself as an anthropologist looking to gain as much information about the person as you can.</w:t>
      </w:r>
    </w:p>
    <w:p w:rsidR="001512FD" w:rsidRDefault="001512FD">
      <w:pPr>
        <w:ind w:left="1440"/>
      </w:pPr>
    </w:p>
    <w:p w:rsidR="001512FD" w:rsidRDefault="001512FD"/>
    <w:p w:rsidR="001512FD" w:rsidRDefault="00726829">
      <w:pPr>
        <w:ind w:left="720"/>
      </w:pPr>
      <w:r>
        <w:rPr>
          <w:b/>
        </w:rPr>
        <w:t xml:space="preserve">Guiding - </w:t>
      </w:r>
      <w:r>
        <w:t>This phase allows you to push areas of the conversation, listen for values, and ask unbiased questions that allow you t</w:t>
      </w:r>
      <w:r>
        <w:t>o surface contradictions between a person’s actions and beliefs.</w:t>
      </w:r>
    </w:p>
    <w:p w:rsidR="001512FD" w:rsidRDefault="001512FD"/>
    <w:tbl>
      <w:tblPr>
        <w:tblStyle w:val="a3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1512FD">
        <w:trPr>
          <w:trHeight w:val="420"/>
        </w:trPr>
        <w:tc>
          <w:tcPr>
            <w:tcW w:w="8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2FD" w:rsidRDefault="0072682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Guiding Techniques</w:t>
            </w:r>
          </w:p>
        </w:tc>
      </w:tr>
      <w:tr w:rsidR="001512FD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2FD" w:rsidRDefault="0072682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Double-sided reflection </w:t>
            </w:r>
            <w:r>
              <w:t>- “On the one hand, it seems that you feel X, and on the other hand, you feel Y.”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2FD" w:rsidRDefault="0072682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Invert barrier </w:t>
            </w:r>
            <w:r>
              <w:t>- “It sounds like, in order to move forward, you might want to address these barriers….”</w:t>
            </w:r>
          </w:p>
        </w:tc>
      </w:tr>
    </w:tbl>
    <w:p w:rsidR="001512FD" w:rsidRDefault="001512FD">
      <w:pPr>
        <w:ind w:left="720"/>
        <w:jc w:val="center"/>
      </w:pPr>
    </w:p>
    <w:p w:rsidR="001512FD" w:rsidRDefault="00726829">
      <w:pPr>
        <w:ind w:left="1440"/>
      </w:pPr>
      <w:r>
        <w:rPr>
          <w:b/>
        </w:rPr>
        <w:t xml:space="preserve">Remember: </w:t>
      </w:r>
      <w:r>
        <w:t>Be careful not to let your biases creep into this phase or</w:t>
      </w:r>
      <w:r>
        <w:t xml:space="preserve"> put value on the statements the person is saying!</w:t>
      </w:r>
    </w:p>
    <w:p w:rsidR="001512FD" w:rsidRDefault="001512FD">
      <w:pPr>
        <w:ind w:left="1440"/>
      </w:pPr>
    </w:p>
    <w:p w:rsidR="001512FD" w:rsidRDefault="00726829">
      <w:pPr>
        <w:ind w:left="720"/>
      </w:pPr>
      <w:r>
        <w:rPr>
          <w:b/>
        </w:rPr>
        <w:t xml:space="preserve">Choosing - </w:t>
      </w:r>
      <w:r>
        <w:t>Once you’ve successfully guided the speaker into identifying a discrepancy or conflict, this final phase opens the door for you to ask them if they would like to do anything to be closer to the</w:t>
      </w:r>
      <w:r>
        <w:t xml:space="preserve">ir values. It can be as simple as asking them to think about whether their position has been challenged at all, or as big as inviting them to go to an event. </w:t>
      </w:r>
    </w:p>
    <w:p w:rsidR="001512FD" w:rsidRDefault="001512FD">
      <w:pPr>
        <w:ind w:left="720"/>
        <w:rPr>
          <w:b/>
        </w:rPr>
      </w:pPr>
    </w:p>
    <w:p w:rsidR="001512FD" w:rsidRDefault="00726829">
      <w:pPr>
        <w:ind w:left="1440"/>
      </w:pPr>
      <w:r>
        <w:rPr>
          <w:b/>
        </w:rPr>
        <w:t>Remember</w:t>
      </w:r>
      <w:r>
        <w:t>: C</w:t>
      </w:r>
      <w:r>
        <w:t>hange takes time. As you develop a relationship with the person you are listening to, you may see their opinions change over the course of multiple conversations, and that’s okay!</w:t>
      </w:r>
    </w:p>
    <w:p w:rsidR="001512FD" w:rsidRDefault="001512FD">
      <w:pPr>
        <w:ind w:left="720"/>
      </w:pPr>
    </w:p>
    <w:p w:rsidR="001512FD" w:rsidRDefault="001512FD"/>
    <w:tbl>
      <w:tblPr>
        <w:tblStyle w:val="a4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1512FD">
        <w:trPr>
          <w:trHeight w:val="420"/>
        </w:trPr>
        <w:tc>
          <w:tcPr>
            <w:tcW w:w="86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2FD" w:rsidRDefault="0072682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Choosing Techniques</w:t>
            </w:r>
          </w:p>
        </w:tc>
      </w:tr>
      <w:tr w:rsidR="001512FD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2FD" w:rsidRDefault="0072682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Questions </w:t>
            </w:r>
            <w:r>
              <w:t xml:space="preserve">- “On a scale of 1-10, how important is it </w:t>
            </w:r>
            <w:r>
              <w:t>to you that you change X, Y, Z? What would it take to get you to a higher number? Why did you not choose a lower number?.”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2FD" w:rsidRDefault="0072682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Invite </w:t>
            </w:r>
            <w:r>
              <w:t>- Have another conversation, join a group, attend an event, or even support a cause.</w:t>
            </w:r>
          </w:p>
        </w:tc>
      </w:tr>
    </w:tbl>
    <w:p w:rsidR="001512FD" w:rsidRDefault="001512FD">
      <w:pPr>
        <w:ind w:left="720"/>
        <w:jc w:val="center"/>
      </w:pPr>
    </w:p>
    <w:p w:rsidR="001512FD" w:rsidRDefault="00726829">
      <w:pPr>
        <w:ind w:left="1440"/>
        <w:rPr>
          <w:b/>
        </w:rPr>
      </w:pPr>
      <w:r>
        <w:rPr>
          <w:b/>
        </w:rPr>
        <w:t>Remember:</w:t>
      </w:r>
      <w:r>
        <w:t xml:space="preserve"> Don’t try to</w:t>
      </w:r>
      <w:r>
        <w:t xml:space="preserve"> jump to this phase too soon! You have to build a certain level of trust and rapport before allowing the other person to express their beliefs and values before you get here.</w:t>
      </w:r>
    </w:p>
    <w:p w:rsidR="001512FD" w:rsidRDefault="001512FD"/>
    <w:p w:rsidR="001512FD" w:rsidRDefault="001512FD"/>
    <w:p w:rsidR="001512FD" w:rsidRDefault="00726829">
      <w:pPr>
        <w:rPr>
          <w:b/>
          <w:shd w:val="clear" w:color="auto" w:fill="CCCCCC"/>
        </w:rPr>
      </w:pPr>
      <w:r>
        <w:rPr>
          <w:b/>
          <w:shd w:val="clear" w:color="auto" w:fill="CCCCCC"/>
        </w:rPr>
        <w:t>Activity #1: Reacting to a tough statement</w:t>
      </w:r>
    </w:p>
    <w:p w:rsidR="001512FD" w:rsidRDefault="001512FD">
      <w:pPr>
        <w:rPr>
          <w:b/>
          <w:shd w:val="clear" w:color="auto" w:fill="CCCCCC"/>
        </w:rPr>
      </w:pPr>
    </w:p>
    <w:p w:rsidR="001512FD" w:rsidRDefault="00726829">
      <w:pPr>
        <w:rPr>
          <w:shd w:val="clear" w:color="auto" w:fill="CCCCCC"/>
        </w:rPr>
      </w:pPr>
      <w:r>
        <w:rPr>
          <w:b/>
          <w:highlight w:val="white"/>
        </w:rPr>
        <w:t xml:space="preserve">In order to complete this section, you will need to watch the following reference video:  </w:t>
      </w:r>
      <w:hyperlink r:id="rId6">
        <w:r>
          <w:rPr>
            <w:b/>
            <w:color w:val="1155CC"/>
            <w:highlight w:val="white"/>
            <w:u w:val="single"/>
          </w:rPr>
          <w:t>bit.ly/motivationinterview</w:t>
        </w:r>
      </w:hyperlink>
    </w:p>
    <w:p w:rsidR="001512FD" w:rsidRDefault="001512FD"/>
    <w:p w:rsidR="001512FD" w:rsidRDefault="00726829">
      <w:r>
        <w:t>Stop the video at :50 seconds. If you wer</w:t>
      </w:r>
      <w:r>
        <w:t>e the canvasser at the door, and you heard the person you are speaking with say, “I’m not judgmental, but I also don’t want them around our children,” what would you say? What exploring questions might you ask?</w:t>
      </w:r>
    </w:p>
    <w:p w:rsidR="001512FD" w:rsidRDefault="001512FD"/>
    <w:tbl>
      <w:tblPr>
        <w:tblStyle w:val="a5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512F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2FD" w:rsidRDefault="001512FD">
            <w:pPr>
              <w:widowControl w:val="0"/>
              <w:spacing w:line="240" w:lineRule="auto"/>
            </w:pPr>
          </w:p>
        </w:tc>
      </w:tr>
    </w:tbl>
    <w:p w:rsidR="001512FD" w:rsidRDefault="001512FD"/>
    <w:p w:rsidR="001512FD" w:rsidRDefault="00726829">
      <w:pPr>
        <w:rPr>
          <w:b/>
          <w:shd w:val="clear" w:color="auto" w:fill="CCCCCC"/>
        </w:rPr>
      </w:pPr>
      <w:r>
        <w:rPr>
          <w:b/>
          <w:shd w:val="clear" w:color="auto" w:fill="CCCCCC"/>
        </w:rPr>
        <w:t>For the rest of the activities, finish th</w:t>
      </w:r>
      <w:r>
        <w:rPr>
          <w:b/>
          <w:shd w:val="clear" w:color="auto" w:fill="CCCCCC"/>
        </w:rPr>
        <w:t>e video and answer the questions below.</w:t>
      </w:r>
    </w:p>
    <w:p w:rsidR="001512FD" w:rsidRDefault="001512FD">
      <w:pPr>
        <w:rPr>
          <w:b/>
          <w:shd w:val="clear" w:color="auto" w:fill="CCCCCC"/>
        </w:rPr>
      </w:pPr>
    </w:p>
    <w:p w:rsidR="001512FD" w:rsidRDefault="00726829">
      <w:pPr>
        <w:rPr>
          <w:b/>
          <w:shd w:val="clear" w:color="auto" w:fill="CCCCCC"/>
        </w:rPr>
      </w:pPr>
      <w:r>
        <w:rPr>
          <w:b/>
          <w:shd w:val="clear" w:color="auto" w:fill="CCCCCC"/>
        </w:rPr>
        <w:t>Activity #2: Exploring</w:t>
      </w:r>
    </w:p>
    <w:p w:rsidR="001512FD" w:rsidRDefault="001512FD"/>
    <w:p w:rsidR="001512FD" w:rsidRDefault="00726829">
      <w:r>
        <w:t>What exploring questions did you hear the canvasser ask? What other exploring questions</w:t>
      </w:r>
      <w:r>
        <w:t xml:space="preserve"> came to mind as you heard the woman speaking that you would like to ask?</w:t>
      </w:r>
    </w:p>
    <w:p w:rsidR="001512FD" w:rsidRDefault="001512FD"/>
    <w:tbl>
      <w:tblPr>
        <w:tblStyle w:val="a6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512F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2FD" w:rsidRDefault="001512FD">
            <w:pPr>
              <w:widowControl w:val="0"/>
              <w:spacing w:line="240" w:lineRule="auto"/>
            </w:pPr>
          </w:p>
        </w:tc>
      </w:tr>
    </w:tbl>
    <w:p w:rsidR="001512FD" w:rsidRDefault="001512FD"/>
    <w:p w:rsidR="001512FD" w:rsidRDefault="00726829">
      <w:r>
        <w:t>Did watching the way the canvasser reacted to the woman’s position on transgender rights change the way you would normally react in a situation like this? Explain why or why not.</w:t>
      </w:r>
    </w:p>
    <w:p w:rsidR="001512FD" w:rsidRDefault="001512FD"/>
    <w:tbl>
      <w:tblPr>
        <w:tblStyle w:val="a7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512F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2FD" w:rsidRDefault="001512FD">
            <w:pPr>
              <w:widowControl w:val="0"/>
              <w:spacing w:line="240" w:lineRule="auto"/>
            </w:pPr>
          </w:p>
        </w:tc>
      </w:tr>
    </w:tbl>
    <w:p w:rsidR="001512FD" w:rsidRDefault="001512FD"/>
    <w:p w:rsidR="001512FD" w:rsidRDefault="001512FD"/>
    <w:p w:rsidR="001512FD" w:rsidRDefault="00726829">
      <w:r>
        <w:rPr>
          <w:b/>
          <w:shd w:val="clear" w:color="auto" w:fill="CCCCCC"/>
        </w:rPr>
        <w:t>Activity #3: Guiding questions</w:t>
      </w:r>
    </w:p>
    <w:p w:rsidR="001512FD" w:rsidRDefault="00726829">
      <w:r>
        <w:t>What examples of guiding questions did you hear the canvasser ask the woman?</w:t>
      </w:r>
    </w:p>
    <w:p w:rsidR="001512FD" w:rsidRDefault="001512FD"/>
    <w:tbl>
      <w:tblPr>
        <w:tblStyle w:val="a8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512F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2FD" w:rsidRDefault="001512FD">
            <w:pPr>
              <w:widowControl w:val="0"/>
              <w:spacing w:line="240" w:lineRule="auto"/>
            </w:pPr>
          </w:p>
        </w:tc>
      </w:tr>
    </w:tbl>
    <w:p w:rsidR="001512FD" w:rsidRDefault="001512FD"/>
    <w:p w:rsidR="001512FD" w:rsidRDefault="00726829">
      <w:r>
        <w:t>In what instances did you hear the woman voice her values, as well as contradictions with her initially stated beliefs? How did that make you feel?</w:t>
      </w:r>
    </w:p>
    <w:p w:rsidR="001512FD" w:rsidRDefault="001512FD">
      <w:pPr>
        <w:rPr>
          <w:color w:val="3B444D"/>
          <w:highlight w:val="white"/>
        </w:rPr>
      </w:pPr>
    </w:p>
    <w:tbl>
      <w:tblPr>
        <w:tblStyle w:val="a9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512FD">
        <w:trPr>
          <w:trHeight w:val="130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2FD" w:rsidRDefault="001512FD">
            <w:pPr>
              <w:widowControl w:val="0"/>
              <w:spacing w:line="240" w:lineRule="auto"/>
              <w:rPr>
                <w:color w:val="3B444D"/>
                <w:sz w:val="44"/>
                <w:szCs w:val="44"/>
                <w:highlight w:val="white"/>
              </w:rPr>
            </w:pPr>
          </w:p>
        </w:tc>
      </w:tr>
    </w:tbl>
    <w:p w:rsidR="001512FD" w:rsidRDefault="001512FD">
      <w:pPr>
        <w:rPr>
          <w:color w:val="3B444D"/>
          <w:sz w:val="44"/>
          <w:szCs w:val="44"/>
          <w:highlight w:val="white"/>
        </w:rPr>
      </w:pPr>
    </w:p>
    <w:p w:rsidR="001512FD" w:rsidRDefault="00726829">
      <w:pPr>
        <w:rPr>
          <w:b/>
          <w:shd w:val="clear" w:color="auto" w:fill="CCCCCC"/>
        </w:rPr>
      </w:pPr>
      <w:r>
        <w:rPr>
          <w:b/>
          <w:shd w:val="clear" w:color="auto" w:fill="CCCCCC"/>
        </w:rPr>
        <w:t>Activity #4: Choosing</w:t>
      </w:r>
    </w:p>
    <w:p w:rsidR="001512FD" w:rsidRDefault="001512FD">
      <w:pPr>
        <w:rPr>
          <w:b/>
          <w:shd w:val="clear" w:color="auto" w:fill="CCCCCC"/>
        </w:rPr>
      </w:pPr>
    </w:p>
    <w:p w:rsidR="001512FD" w:rsidRDefault="00726829">
      <w:r>
        <w:t>How did the canvasser ask this woman to choose an action, further conversation, or consider a thought?</w:t>
      </w:r>
    </w:p>
    <w:p w:rsidR="001512FD" w:rsidRDefault="001512FD"/>
    <w:tbl>
      <w:tblPr>
        <w:tblStyle w:val="a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512F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2FD" w:rsidRDefault="001512FD">
            <w:pPr>
              <w:widowControl w:val="0"/>
              <w:spacing w:line="240" w:lineRule="auto"/>
            </w:pPr>
          </w:p>
        </w:tc>
      </w:tr>
    </w:tbl>
    <w:p w:rsidR="001512FD" w:rsidRDefault="001512FD"/>
    <w:p w:rsidR="001512FD" w:rsidRDefault="00726829">
      <w:r>
        <w:t>What would you ask the woman at this point?</w:t>
      </w:r>
    </w:p>
    <w:p w:rsidR="001512FD" w:rsidRDefault="001512FD"/>
    <w:tbl>
      <w:tblPr>
        <w:tblStyle w:val="ab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512F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2FD" w:rsidRDefault="001512FD">
            <w:pPr>
              <w:widowControl w:val="0"/>
              <w:spacing w:line="240" w:lineRule="auto"/>
            </w:pPr>
          </w:p>
        </w:tc>
      </w:tr>
    </w:tbl>
    <w:p w:rsidR="001512FD" w:rsidRDefault="001512FD"/>
    <w:p w:rsidR="001512FD" w:rsidRDefault="00726829">
      <w:r>
        <w:t>Are you surprised by the outcome of this conversation?</w:t>
      </w:r>
    </w:p>
    <w:p w:rsidR="001512FD" w:rsidRDefault="001512FD"/>
    <w:tbl>
      <w:tblPr>
        <w:tblStyle w:val="ac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512F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12FD" w:rsidRDefault="001512FD">
            <w:pPr>
              <w:widowControl w:val="0"/>
              <w:spacing w:line="240" w:lineRule="auto"/>
            </w:pPr>
          </w:p>
        </w:tc>
      </w:tr>
    </w:tbl>
    <w:p w:rsidR="001512FD" w:rsidRDefault="001512FD"/>
    <w:p w:rsidR="001512FD" w:rsidRDefault="001512FD"/>
    <w:p w:rsidR="001512FD" w:rsidRDefault="001512FD"/>
    <w:sectPr w:rsidR="00151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829" w:rsidRDefault="00726829" w:rsidP="00FB7364">
      <w:pPr>
        <w:spacing w:line="240" w:lineRule="auto"/>
      </w:pPr>
      <w:r>
        <w:separator/>
      </w:r>
    </w:p>
  </w:endnote>
  <w:endnote w:type="continuationSeparator" w:id="0">
    <w:p w:rsidR="00726829" w:rsidRDefault="00726829" w:rsidP="00FB7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364" w:rsidRDefault="00FB73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364" w:rsidRPr="00773D05" w:rsidRDefault="00FB7364" w:rsidP="00FB7364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FB7364" w:rsidRDefault="00FB736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364" w:rsidRDefault="00FB7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829" w:rsidRDefault="00726829" w:rsidP="00FB7364">
      <w:pPr>
        <w:spacing w:line="240" w:lineRule="auto"/>
      </w:pPr>
      <w:r>
        <w:separator/>
      </w:r>
    </w:p>
  </w:footnote>
  <w:footnote w:type="continuationSeparator" w:id="0">
    <w:p w:rsidR="00726829" w:rsidRDefault="00726829" w:rsidP="00FB73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364" w:rsidRDefault="00FB73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364" w:rsidRDefault="00FB73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364" w:rsidRDefault="00FB73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12FD"/>
    <w:rsid w:val="001512FD"/>
    <w:rsid w:val="00726829"/>
    <w:rsid w:val="00FB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73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364"/>
  </w:style>
  <w:style w:type="paragraph" w:styleId="Footer">
    <w:name w:val="footer"/>
    <w:basedOn w:val="Normal"/>
    <w:link w:val="FooterChar"/>
    <w:uiPriority w:val="99"/>
    <w:unhideWhenUsed/>
    <w:rsid w:val="00FB73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364"/>
  </w:style>
  <w:style w:type="character" w:styleId="Hyperlink">
    <w:name w:val="Hyperlink"/>
    <w:basedOn w:val="DefaultParagraphFont"/>
    <w:uiPriority w:val="99"/>
    <w:unhideWhenUsed/>
    <w:rsid w:val="00FB7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motivationinterview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4203</Characters>
  <Application>Microsoft Office Word</Application>
  <DocSecurity>0</DocSecurity>
  <Lines>233</Lines>
  <Paragraphs>103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2019-02-22T04:21:00Z</dcterms:created>
  <dcterms:modified xsi:type="dcterms:W3CDTF">2019-02-22T04:21:00Z</dcterms:modified>
</cp:coreProperties>
</file>